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D" w14:textId="6673E5D9" w:rsidR="007137E4" w:rsidRDefault="007137E4">
      <w:pPr>
        <w:jc w:val="both"/>
        <w:rPr>
          <w:rFonts w:ascii="Times New Roman" w:eastAsia="Times New Roman" w:hAnsi="Times New Roman" w:cs="Times New Roman"/>
          <w:b/>
          <w:color w:val="C00000"/>
        </w:rPr>
      </w:pPr>
    </w:p>
    <w:p w14:paraId="0000001E" w14:textId="77777777" w:rsidR="007137E4" w:rsidRDefault="001D7FC7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GUIDELINES FOR THE PREPARATION AND SUBMISSION OF ABSTRACTS</w:t>
      </w:r>
    </w:p>
    <w:p w14:paraId="0000001F" w14:textId="77777777" w:rsidR="007137E4" w:rsidRDefault="001D7FC7">
      <w:pPr>
        <w:numPr>
          <w:ilvl w:val="0"/>
          <w:numId w:val="4"/>
        </w:numPr>
        <w:shd w:val="clear" w:color="auto" w:fill="FFFFFF"/>
        <w:spacing w:before="280"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Abstracts may be submitted by e-mail to the Scientific Papers Committee at email 1sticcerhcscientificpapers@gmail.com.</w:t>
      </w:r>
    </w:p>
    <w:p w14:paraId="00000020" w14:textId="77777777" w:rsidR="007137E4" w:rsidRDefault="001D7FC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Abstracts must be r</w:t>
      </w:r>
      <w:r>
        <w:rPr>
          <w:rFonts w:ascii="Times New Roman" w:eastAsia="Times New Roman" w:hAnsi="Times New Roman" w:cs="Times New Roman"/>
          <w:sz w:val="23"/>
          <w:szCs w:val="23"/>
        </w:rPr>
        <w:t>eceived by the announced deadline. Abstracts received after the deadline will not be considered.</w:t>
      </w:r>
    </w:p>
    <w:p w14:paraId="00000021" w14:textId="77777777" w:rsidR="007137E4" w:rsidRDefault="001D7FC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Please do not submit multiple copies of the same abstract.</w:t>
      </w:r>
    </w:p>
    <w:p w14:paraId="00000022" w14:textId="77777777" w:rsidR="007137E4" w:rsidRDefault="001D7FC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You will receive confirmation that your abstract has been received, indicating the abstract number w</w:t>
      </w:r>
      <w:r>
        <w:rPr>
          <w:rFonts w:ascii="Times New Roman" w:eastAsia="Times New Roman" w:hAnsi="Times New Roman" w:cs="Times New Roman"/>
          <w:sz w:val="23"/>
          <w:szCs w:val="23"/>
        </w:rPr>
        <w:t>hich it has been allocated. Please refer to this abstract number in all correspondence regarding the abstract.</w:t>
      </w:r>
    </w:p>
    <w:p w14:paraId="00000023" w14:textId="77777777" w:rsidR="007137E4" w:rsidRDefault="001D7FC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Please see/download abstract template for both oral and poster presentations 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FACEBOOK AND WEBSITE.</w:t>
      </w:r>
    </w:p>
    <w:p w14:paraId="00000024" w14:textId="77777777" w:rsidR="007137E4" w:rsidRDefault="001D7FC7">
      <w:pPr>
        <w:numPr>
          <w:ilvl w:val="0"/>
          <w:numId w:val="4"/>
        </w:numPr>
        <w:shd w:val="clear" w:color="auto" w:fill="FFFFFF"/>
        <w:spacing w:after="2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Abstract text should be limited to 250 words (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Note: word count is affected when graphs/tables/images are added).</w:t>
      </w:r>
    </w:p>
    <w:p w14:paraId="00000025" w14:textId="77777777" w:rsidR="007137E4" w:rsidRDefault="001D7F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Please read the submission rules before submitting an abstract.</w:t>
      </w:r>
    </w:p>
    <w:p w14:paraId="00000026" w14:textId="77777777" w:rsidR="007137E4" w:rsidRDefault="001D7FC7">
      <w:pPr>
        <w:numPr>
          <w:ilvl w:val="0"/>
          <w:numId w:val="1"/>
        </w:numPr>
        <w:shd w:val="clear" w:color="auto" w:fill="FFFFFF"/>
        <w:spacing w:before="280" w:after="0"/>
        <w:ind w:left="3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Abstracts must be original and must not be or have been published, nor presented at any international meeting, prior to 1st I</w:t>
      </w:r>
      <w:r>
        <w:rPr>
          <w:rFonts w:ascii="Times New Roman" w:eastAsia="Times New Roman" w:hAnsi="Times New Roman" w:cs="Times New Roman"/>
          <w:sz w:val="23"/>
          <w:szCs w:val="23"/>
        </w:rPr>
        <w:t>CCERCHC 2021. If you submit a manuscript on your work before presentation at ICCERCHC 2021, you should agree with the journal editor that the manuscript will not be released online prior to the date of presentation.</w:t>
      </w:r>
    </w:p>
    <w:p w14:paraId="00000027" w14:textId="77777777" w:rsidR="007137E4" w:rsidRDefault="001D7FC7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The Committee will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endeavour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to schedule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abstracts according to authors' preferences but reserves the right to decide on the final form of presentation.</w:t>
      </w:r>
    </w:p>
    <w:p w14:paraId="00000028" w14:textId="77777777" w:rsidR="007137E4" w:rsidRDefault="001D7FC7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 presenting author is expected to attend the Conference and present their abstract. Presenting authors of abstracts must be registered parti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cipants. </w:t>
      </w:r>
    </w:p>
    <w:p w14:paraId="00000029" w14:textId="77777777" w:rsidR="007137E4" w:rsidRDefault="001D7FC7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The presenting author is required to ensure that all co-authors are aware of the content of the abstract before submission to the Scientific Papers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Comittee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 Results may be preliminary, and the final results can be updated in the presentation or </w:t>
      </w:r>
      <w:r>
        <w:rPr>
          <w:rFonts w:ascii="Times New Roman" w:eastAsia="Times New Roman" w:hAnsi="Times New Roman" w:cs="Times New Roman"/>
          <w:sz w:val="23"/>
          <w:szCs w:val="23"/>
        </w:rPr>
        <w:t>poster.</w:t>
      </w:r>
    </w:p>
    <w:p w14:paraId="0000002A" w14:textId="77777777" w:rsidR="007137E4" w:rsidRDefault="001D7FC7">
      <w:pPr>
        <w:numPr>
          <w:ilvl w:val="0"/>
          <w:numId w:val="1"/>
        </w:numPr>
        <w:shd w:val="clear" w:color="auto" w:fill="FFFFFF"/>
        <w:spacing w:after="280"/>
        <w:ind w:left="3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All abstracts must be submitted in MS WORD FORMAT and presented in clear English with accurate grammar and spelling of a quality suitable for publication. All submitted abstracts will be forwarded to the Committee for review. Notifications regarding status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will be sent once the review process is complete.</w:t>
      </w:r>
    </w:p>
    <w:p w14:paraId="0000002B" w14:textId="77777777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b/>
        </w:rPr>
      </w:pPr>
    </w:p>
    <w:p w14:paraId="0000002C" w14:textId="77777777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2D" w14:textId="77777777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2E" w14:textId="77777777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2F" w14:textId="77777777" w:rsidR="007137E4" w:rsidRDefault="001D7FC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RESEARCH AREAS</w:t>
      </w:r>
    </w:p>
    <w:p w14:paraId="00000030" w14:textId="77777777" w:rsidR="007137E4" w:rsidRDefault="007137E4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00000031" w14:textId="77777777" w:rsidR="007137E4" w:rsidRDefault="001D7FC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ICCERHC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a venue for health care researchers, academics, students, and any interested person from various institutes in the Asia-Pacific region to present their research work through oral or poster presentations, and to discuss issues, best practices, and newly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generated information in the following areas:</w:t>
      </w:r>
    </w:p>
    <w:p w14:paraId="00000032" w14:textId="77777777" w:rsidR="007137E4" w:rsidRDefault="007137E4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3" w14:textId="77777777" w:rsidR="007137E4" w:rsidRDefault="001D7FC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Pharmacy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Research Area Code</w:t>
      </w:r>
    </w:p>
    <w:p w14:paraId="00000034" w14:textId="77777777" w:rsidR="007137E4" w:rsidRDefault="007137E4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35" w14:textId="77777777" w:rsidR="007137E4" w:rsidRDefault="001D7FC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• Pharmaceutical Chemistry and Natural Products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(PH-1)</w:t>
      </w:r>
    </w:p>
    <w:p w14:paraId="00000036" w14:textId="77777777" w:rsidR="007137E4" w:rsidRDefault="001D7FC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Pharmaceutical and Cosmeceutical Toxicology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(PH-2)</w:t>
      </w:r>
    </w:p>
    <w:p w14:paraId="00000037" w14:textId="77777777" w:rsidR="007137E4" w:rsidRDefault="001D7FC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• Pharmacology and Toxicology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(PH-3)</w:t>
      </w:r>
    </w:p>
    <w:p w14:paraId="00000038" w14:textId="77777777" w:rsidR="007137E4" w:rsidRDefault="001D7FC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Pharmaceutic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Biotechnology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(PH-4)</w:t>
      </w:r>
    </w:p>
    <w:p w14:paraId="00000039" w14:textId="77777777" w:rsidR="007137E4" w:rsidRDefault="001D7FC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• Nutraceuticals and Alternative Medicine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(PH-5)</w:t>
      </w:r>
    </w:p>
    <w:p w14:paraId="0000003A" w14:textId="77777777" w:rsidR="007137E4" w:rsidRDefault="001D7FC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Social Pharmacy and Pharmacy Practice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(PH-6)</w:t>
      </w:r>
    </w:p>
    <w:p w14:paraId="0000003B" w14:textId="77777777" w:rsidR="007137E4" w:rsidRDefault="001D7FC7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Biochemistry:</w:t>
      </w:r>
    </w:p>
    <w:p w14:paraId="0000003C" w14:textId="77777777" w:rsidR="007137E4" w:rsidRDefault="001D7F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Biochemistry Education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(BC-1)</w:t>
      </w:r>
    </w:p>
    <w:p w14:paraId="0000003D" w14:textId="77777777" w:rsidR="007137E4" w:rsidRDefault="001D7F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Bioinformatics and Computational Biochemistry</w:t>
      </w:r>
      <w:r>
        <w:rPr>
          <w:rFonts w:ascii="Arial" w:eastAsia="Arial" w:hAnsi="Arial" w:cs="Arial"/>
          <w:color w:val="000000"/>
          <w:sz w:val="20"/>
          <w:szCs w:val="20"/>
        </w:rPr>
        <w:tab/>
        <w:t>(BC-2)</w:t>
      </w:r>
    </w:p>
    <w:p w14:paraId="0000003E" w14:textId="77777777" w:rsidR="007137E4" w:rsidRDefault="001D7F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-Omics and Health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(BC-3)</w:t>
      </w:r>
    </w:p>
    <w:p w14:paraId="0000003F" w14:textId="77777777" w:rsidR="007137E4" w:rsidRDefault="001D7F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Medicinal Biochemistry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(BC-4)</w:t>
      </w:r>
    </w:p>
    <w:p w14:paraId="00000040" w14:textId="77777777" w:rsidR="007137E4" w:rsidRDefault="001D7F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Nanomedicines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(BC-5)</w:t>
      </w:r>
    </w:p>
    <w:p w14:paraId="00000041" w14:textId="77777777" w:rsidR="007137E4" w:rsidRDefault="001D7F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Gene Biotechnology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(BC-6)</w:t>
      </w:r>
    </w:p>
    <w:p w14:paraId="00000042" w14:textId="77777777" w:rsidR="007137E4" w:rsidRDefault="001D7FC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Medical Technology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0000043" w14:textId="77777777" w:rsidR="007137E4" w:rsidRDefault="001D7F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Medical Technology Education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(MT-1)</w:t>
      </w:r>
    </w:p>
    <w:p w14:paraId="00000044" w14:textId="77777777" w:rsidR="007137E4" w:rsidRDefault="001D7F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Molecular Biology and Diagnostics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(MT-2)</w:t>
      </w:r>
    </w:p>
    <w:p w14:paraId="00000045" w14:textId="77777777" w:rsidR="007137E4" w:rsidRDefault="001D7F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Infectious Diseases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(MT-3)</w:t>
      </w:r>
    </w:p>
    <w:p w14:paraId="00000046" w14:textId="77777777" w:rsidR="007137E4" w:rsidRDefault="001D7F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Quality Assurance and Instrumentation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(MT-4)</w:t>
      </w:r>
    </w:p>
    <w:p w14:paraId="00000047" w14:textId="77777777" w:rsidR="007137E4" w:rsidRDefault="001D7F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Epidemiology and Public Health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(MT-5)</w:t>
      </w:r>
    </w:p>
    <w:bookmarkEnd w:id="0"/>
    <w:p w14:paraId="00000048" w14:textId="77777777" w:rsidR="007137E4" w:rsidRDefault="007137E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00000049" w14:textId="77777777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4A" w14:textId="77777777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4B" w14:textId="77777777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4C" w14:textId="77777777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4D" w14:textId="08C57385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9ED7CCD" w14:textId="77777777" w:rsidR="001D7FC7" w:rsidRDefault="001D7FC7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4E" w14:textId="77777777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4F" w14:textId="77777777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50" w14:textId="77777777" w:rsidR="007137E4" w:rsidRDefault="001D7FC7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ABSTRACT NO.______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Category (Please check): </w:t>
      </w:r>
    </w:p>
    <w:p w14:paraId="00000051" w14:textId="77777777" w:rsidR="007137E4" w:rsidRDefault="001D7FC7">
      <w:pPr>
        <w:shd w:val="clear" w:color="auto" w:fill="FFFFFF"/>
        <w:spacing w:before="280" w:after="280"/>
        <w:ind w:left="57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Oral ____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Poster:_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___</w:t>
      </w:r>
    </w:p>
    <w:p w14:paraId="00000052" w14:textId="77777777" w:rsidR="007137E4" w:rsidRDefault="001D7FC7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Research Area Code: _______________</w:t>
      </w:r>
    </w:p>
    <w:p w14:paraId="00000053" w14:textId="77777777" w:rsidR="007137E4" w:rsidRDefault="007137E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54" w14:textId="77777777" w:rsidR="007137E4" w:rsidRDefault="001D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ABSTRACT TITLE</w:t>
      </w:r>
    </w:p>
    <w:p w14:paraId="00000055" w14:textId="77777777" w:rsidR="007137E4" w:rsidRDefault="001D7F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(TIMES NEW ROMAN, 14 FONT SIZE, BOLD, ALL CAPS, CENTERED)</w:t>
      </w:r>
    </w:p>
    <w:p w14:paraId="00000056" w14:textId="77777777" w:rsidR="007137E4" w:rsidRDefault="00713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57" w14:textId="77777777" w:rsidR="007137E4" w:rsidRDefault="001D7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Author’s Name and Surname</w:t>
      </w:r>
      <w:r>
        <w:rPr>
          <w:rFonts w:ascii="Times New Roman" w:eastAsia="Times New Roman" w:hAnsi="Times New Roman" w:cs="Times New Roman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 Author’s Name and Surname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2 </w:t>
      </w:r>
      <w:r>
        <w:rPr>
          <w:rFonts w:ascii="Times New Roman" w:eastAsia="Times New Roman" w:hAnsi="Times New Roman" w:cs="Times New Roman"/>
          <w:sz w:val="20"/>
          <w:szCs w:val="20"/>
        </w:rPr>
        <w:t>(10 font size)</w:t>
      </w:r>
    </w:p>
    <w:p w14:paraId="00000058" w14:textId="77777777" w:rsidR="007137E4" w:rsidRDefault="001D7F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Organization information that the author is committed to</w:t>
      </w:r>
    </w:p>
    <w:p w14:paraId="00000059" w14:textId="77777777" w:rsidR="007137E4" w:rsidRDefault="001D7F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E-mail</w:t>
      </w:r>
    </w:p>
    <w:p w14:paraId="0000005A" w14:textId="77777777" w:rsidR="007137E4" w:rsidRDefault="001D7F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Organization information that the author is committed to</w:t>
      </w:r>
    </w:p>
    <w:p w14:paraId="0000005B" w14:textId="77777777" w:rsidR="007137E4" w:rsidRDefault="001D7F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E-ma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</w:t>
      </w:r>
    </w:p>
    <w:p w14:paraId="0000005C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5D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5E" w14:textId="77777777" w:rsidR="007137E4" w:rsidRDefault="001D7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ABSTRACT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(11 Font Size, bold, centered)</w:t>
      </w:r>
    </w:p>
    <w:p w14:paraId="0000005F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60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Abstract should be written in 200 words and with 10 font size, Times New Roman, justified, single line spacing. </w:t>
      </w:r>
    </w:p>
    <w:p w14:paraId="00000061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2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Background of the study:</w:t>
      </w:r>
    </w:p>
    <w:p w14:paraId="00000063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4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Objective of the Study:</w:t>
      </w:r>
    </w:p>
    <w:p w14:paraId="00000065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6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Materials and Methods:</w:t>
      </w:r>
    </w:p>
    <w:p w14:paraId="00000067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8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Results and Discussion:</w:t>
      </w:r>
    </w:p>
    <w:p w14:paraId="00000069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A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Conclusion:</w:t>
      </w:r>
    </w:p>
    <w:p w14:paraId="0000006B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C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Keywords: </w:t>
      </w:r>
      <w:r>
        <w:rPr>
          <w:rFonts w:ascii="Times New Roman" w:eastAsia="Times New Roman" w:hAnsi="Times New Roman" w:cs="Times New Roman"/>
          <w:sz w:val="20"/>
          <w:szCs w:val="20"/>
        </w:rPr>
        <w:t>Should contain maximum of 5 words that are written with 10 font size and separated with semi-colon.</w:t>
      </w:r>
    </w:p>
    <w:p w14:paraId="0000006D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REFERENCES</w:t>
      </w:r>
    </w:p>
    <w:p w14:paraId="0000006F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000070" w14:textId="77777777" w:rsidR="007137E4" w:rsidRDefault="001D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Total no. of references must not exceed 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Resources that have been presented inside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 the text with numbers should be listed according to their order in the text. References that have been presented in the references list should be prepared in a format according to the reference type shown </w:t>
      </w:r>
      <w:r>
        <w:rPr>
          <w:rFonts w:ascii="Times New Roman" w:eastAsia="Times New Roman" w:hAnsi="Times New Roman" w:cs="Times New Roman"/>
          <w:sz w:val="20"/>
          <w:szCs w:val="20"/>
        </w:rPr>
        <w:t>below:</w:t>
      </w:r>
    </w:p>
    <w:p w14:paraId="00000071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72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If the reference is an article;</w:t>
      </w:r>
    </w:p>
    <w:p w14:paraId="00000073" w14:textId="77777777" w:rsidR="007137E4" w:rsidRDefault="001D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Pommiera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Chenub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D.,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Quintardb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Lefebvre, X., (2007). Modelling of moisture-dependent aerobic degradation of solid waste, Waste Management, 28, 7, 1188-1200</w:t>
      </w:r>
    </w:p>
    <w:p w14:paraId="00000074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75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If the reference is a book;</w:t>
      </w:r>
    </w:p>
    <w:p w14:paraId="00000076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Li, G., Hart,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Gregory, J., (1998). Flocculation and sedimentation, 295,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Technomics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Press, Lancaster PA.</w:t>
      </w:r>
    </w:p>
    <w:p w14:paraId="00000077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78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If the reference is a chapter of a book;</w:t>
      </w:r>
    </w:p>
    <w:p w14:paraId="00000079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Blackburn, T., (1998). Flocculation and sedimentation in Li, G., Hart, 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Gregory, J.,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Physical</w:t>
      </w:r>
    </w:p>
    <w:p w14:paraId="0000007A" w14:textId="77777777" w:rsidR="007137E4" w:rsidRDefault="001D7F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Processes,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Technomics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Press, 29-45, Lancaster PA.</w:t>
      </w:r>
    </w:p>
    <w:p w14:paraId="0000007B" w14:textId="77777777" w:rsidR="007137E4" w:rsidRDefault="007137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7137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1FB"/>
    <w:multiLevelType w:val="multilevel"/>
    <w:tmpl w:val="061EF7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D411AE"/>
    <w:multiLevelType w:val="multilevel"/>
    <w:tmpl w:val="D5384A98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7375463"/>
    <w:multiLevelType w:val="multilevel"/>
    <w:tmpl w:val="3CC23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265B61"/>
    <w:multiLevelType w:val="multilevel"/>
    <w:tmpl w:val="DFC2A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4"/>
    <w:rsid w:val="001D7FC7"/>
    <w:rsid w:val="0071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6A11"/>
  <w15:docId w15:val="{47DD34F9-0799-4DBC-B4A8-FE0FECF9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042F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2F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41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XU5cTyWusdVZtBCt2kEWHtTvMg==">AMUW2mVddFbf0LzciBxzeX8mPQoqcacOIr5CvJqUlJIOU3PmfdWk01MNXVLym4eL6IXk6G0hBOgLTifzIWifEl5HZSn7bX1+4L0A0r378nY2HkjI+y6MRSqIg260A86aiMcT3R5DffkW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</cp:lastModifiedBy>
  <cp:revision>2</cp:revision>
  <dcterms:created xsi:type="dcterms:W3CDTF">2019-06-13T04:25:00Z</dcterms:created>
  <dcterms:modified xsi:type="dcterms:W3CDTF">2020-10-23T01:27:00Z</dcterms:modified>
</cp:coreProperties>
</file>